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004" w14:textId="77777777" w:rsidR="00C700AD" w:rsidRDefault="00C700AD" w:rsidP="00C700AD">
      <w:r>
        <w:t xml:space="preserve">TEMPLATE </w:t>
      </w:r>
      <w:r>
        <w:t>Commissioning Reporting requirements</w:t>
      </w:r>
    </w:p>
    <w:p w14:paraId="4D6A7727" w14:textId="77777777" w:rsidR="00C700AD" w:rsidRDefault="00C700AD" w:rsidP="00C700AD">
      <w:r>
        <w:t>Kindly shared by a parent-infant team with permission of their commissioner</w:t>
      </w:r>
    </w:p>
    <w:p w14:paraId="0869FADF" w14:textId="345AA338" w:rsidR="00C700AD" w:rsidRDefault="00C700AD" w:rsidP="00C700AD">
      <w:r>
        <w:t xml:space="preserve">All data will need to be broken down by CCG area, timeframe would be monthly. </w:t>
      </w:r>
    </w:p>
    <w:p w14:paraId="14346227" w14:textId="77777777" w:rsidR="00C700AD" w:rsidRDefault="00C700AD" w:rsidP="00C70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2156"/>
        <w:gridCol w:w="2067"/>
        <w:gridCol w:w="2079"/>
      </w:tblGrid>
      <w:tr w:rsidR="00C700AD" w14:paraId="66CA17F5" w14:textId="77777777" w:rsidTr="000F360A">
        <w:tc>
          <w:tcPr>
            <w:tcW w:w="2714" w:type="dxa"/>
          </w:tcPr>
          <w:p w14:paraId="642B4534" w14:textId="77777777" w:rsidR="00C700AD" w:rsidRPr="003139FC" w:rsidRDefault="00C700AD" w:rsidP="000F360A">
            <w:pPr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2156" w:type="dxa"/>
          </w:tcPr>
          <w:p w14:paraId="6B0ACA68" w14:textId="77777777" w:rsidR="00C700AD" w:rsidRDefault="00C700AD" w:rsidP="000F360A">
            <w:r>
              <w:t>Measure</w:t>
            </w:r>
          </w:p>
        </w:tc>
        <w:tc>
          <w:tcPr>
            <w:tcW w:w="2067" w:type="dxa"/>
          </w:tcPr>
          <w:p w14:paraId="1803F4EA" w14:textId="77777777" w:rsidR="00C700AD" w:rsidRDefault="00C700AD" w:rsidP="000F360A">
            <w:r>
              <w:t>Reporting channel (e.g. monthly/annual reporting, via PARIS or other)</w:t>
            </w:r>
          </w:p>
        </w:tc>
        <w:tc>
          <w:tcPr>
            <w:tcW w:w="2079" w:type="dxa"/>
          </w:tcPr>
          <w:p w14:paraId="6AD775AB" w14:textId="77777777" w:rsidR="00C700AD" w:rsidRDefault="00C700AD" w:rsidP="000F360A">
            <w:r>
              <w:t>Notes</w:t>
            </w:r>
          </w:p>
        </w:tc>
      </w:tr>
      <w:tr w:rsidR="00C700AD" w14:paraId="403F9A0F" w14:textId="77777777" w:rsidTr="000F360A">
        <w:tc>
          <w:tcPr>
            <w:tcW w:w="2714" w:type="dxa"/>
            <w:shd w:val="clear" w:color="auto" w:fill="C9C9C9" w:themeFill="accent3" w:themeFillTint="99"/>
          </w:tcPr>
          <w:p w14:paraId="7205EF23" w14:textId="77777777" w:rsidR="00C700AD" w:rsidRDefault="00C700AD" w:rsidP="00C70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/>
            </w:pPr>
            <w:r>
              <w:t>Stresses on the caregiving relationship</w:t>
            </w:r>
          </w:p>
        </w:tc>
        <w:tc>
          <w:tcPr>
            <w:tcW w:w="2156" w:type="dxa"/>
            <w:shd w:val="clear" w:color="auto" w:fill="C9C9C9" w:themeFill="accent3" w:themeFillTint="99"/>
          </w:tcPr>
          <w:p w14:paraId="68B40973" w14:textId="77777777" w:rsidR="00C700AD" w:rsidRDefault="00C700AD" w:rsidP="000F360A">
            <w:r>
              <w:t xml:space="preserve">Risks and Stresses Checklist </w:t>
            </w:r>
          </w:p>
        </w:tc>
        <w:tc>
          <w:tcPr>
            <w:tcW w:w="2067" w:type="dxa"/>
            <w:shd w:val="clear" w:color="auto" w:fill="C9C9C9" w:themeFill="accent3" w:themeFillTint="99"/>
          </w:tcPr>
          <w:p w14:paraId="5DDB64CE" w14:textId="77777777" w:rsidR="00C700AD" w:rsidRDefault="00C700AD" w:rsidP="000F360A"/>
        </w:tc>
        <w:tc>
          <w:tcPr>
            <w:tcW w:w="2079" w:type="dxa"/>
            <w:shd w:val="clear" w:color="auto" w:fill="C9C9C9" w:themeFill="accent3" w:themeFillTint="99"/>
          </w:tcPr>
          <w:p w14:paraId="44B71F7B" w14:textId="77777777" w:rsidR="00C700AD" w:rsidRDefault="00C700AD" w:rsidP="000F360A">
            <w:r>
              <w:t>Pre and post</w:t>
            </w:r>
          </w:p>
        </w:tc>
      </w:tr>
      <w:tr w:rsidR="00C700AD" w14:paraId="3B3EFBA7" w14:textId="77777777" w:rsidTr="000F360A">
        <w:tc>
          <w:tcPr>
            <w:tcW w:w="2714" w:type="dxa"/>
            <w:shd w:val="clear" w:color="auto" w:fill="C9C9C9" w:themeFill="accent3" w:themeFillTint="99"/>
          </w:tcPr>
          <w:p w14:paraId="63060C43" w14:textId="77777777" w:rsidR="00C700AD" w:rsidRDefault="00C700AD" w:rsidP="00C700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/>
            </w:pPr>
            <w:r>
              <w:t>Behaviour within the caregiving relationship</w:t>
            </w:r>
          </w:p>
        </w:tc>
        <w:tc>
          <w:tcPr>
            <w:tcW w:w="2156" w:type="dxa"/>
            <w:shd w:val="clear" w:color="auto" w:fill="C9C9C9" w:themeFill="accent3" w:themeFillTint="99"/>
          </w:tcPr>
          <w:p w14:paraId="7A1145DF" w14:textId="77777777" w:rsidR="00C700AD" w:rsidRDefault="00C700AD" w:rsidP="000F360A">
            <w:r>
              <w:t>The Keys to Interactive Parenting Scale (KIPS)</w:t>
            </w:r>
          </w:p>
        </w:tc>
        <w:tc>
          <w:tcPr>
            <w:tcW w:w="2067" w:type="dxa"/>
            <w:shd w:val="clear" w:color="auto" w:fill="C9C9C9" w:themeFill="accent3" w:themeFillTint="99"/>
          </w:tcPr>
          <w:p w14:paraId="03B26C8F" w14:textId="77777777" w:rsidR="00C700AD" w:rsidRDefault="00C700AD" w:rsidP="000F360A"/>
        </w:tc>
        <w:tc>
          <w:tcPr>
            <w:tcW w:w="2079" w:type="dxa"/>
            <w:shd w:val="clear" w:color="auto" w:fill="C9C9C9" w:themeFill="accent3" w:themeFillTint="99"/>
          </w:tcPr>
          <w:p w14:paraId="6EFB56D4" w14:textId="77777777" w:rsidR="00C700AD" w:rsidRDefault="00C700AD" w:rsidP="000F360A">
            <w:r>
              <w:t>Pre and post</w:t>
            </w:r>
          </w:p>
        </w:tc>
      </w:tr>
      <w:tr w:rsidR="00C700AD" w14:paraId="3E952CD1" w14:textId="77777777" w:rsidTr="000F360A">
        <w:tc>
          <w:tcPr>
            <w:tcW w:w="2714" w:type="dxa"/>
            <w:shd w:val="clear" w:color="auto" w:fill="C9C9C9" w:themeFill="accent3" w:themeFillTint="99"/>
          </w:tcPr>
          <w:p w14:paraId="7A48FA39" w14:textId="77777777" w:rsidR="00C700AD" w:rsidRDefault="00C700AD" w:rsidP="000F36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/>
            </w:pPr>
            <w:r>
              <w:t>The quality of the caregiving relationship/attachment</w:t>
            </w:r>
          </w:p>
        </w:tc>
        <w:tc>
          <w:tcPr>
            <w:tcW w:w="2156" w:type="dxa"/>
            <w:shd w:val="clear" w:color="auto" w:fill="C9C9C9" w:themeFill="accent3" w:themeFillTint="99"/>
          </w:tcPr>
          <w:p w14:paraId="5CB464A0" w14:textId="77777777" w:rsidR="00C700AD" w:rsidRDefault="00C700AD" w:rsidP="000F360A">
            <w:r w:rsidRPr="003139FC">
              <w:t>Diagnostic Classification of Mental Health and Developmental Disorders of Infancy and Early Childhood: Revised Edition (DC:0-5). (2016) Zero to Three. Washington: DC. Pages 134 to 148.</w:t>
            </w:r>
          </w:p>
        </w:tc>
        <w:tc>
          <w:tcPr>
            <w:tcW w:w="2067" w:type="dxa"/>
            <w:shd w:val="clear" w:color="auto" w:fill="C9C9C9" w:themeFill="accent3" w:themeFillTint="99"/>
          </w:tcPr>
          <w:p w14:paraId="0F853B26" w14:textId="77777777" w:rsidR="00C700AD" w:rsidRDefault="00C700AD" w:rsidP="000F360A"/>
        </w:tc>
        <w:tc>
          <w:tcPr>
            <w:tcW w:w="2079" w:type="dxa"/>
            <w:shd w:val="clear" w:color="auto" w:fill="C9C9C9" w:themeFill="accent3" w:themeFillTint="99"/>
          </w:tcPr>
          <w:p w14:paraId="053ADF4C" w14:textId="77777777" w:rsidR="00C700AD" w:rsidRDefault="00C700AD" w:rsidP="000F360A">
            <w:r>
              <w:t>At start of treatment</w:t>
            </w:r>
          </w:p>
        </w:tc>
      </w:tr>
      <w:tr w:rsidR="00C700AD" w14:paraId="3FA503DF" w14:textId="77777777" w:rsidTr="000F360A">
        <w:tc>
          <w:tcPr>
            <w:tcW w:w="2714" w:type="dxa"/>
            <w:shd w:val="clear" w:color="auto" w:fill="C9C9C9" w:themeFill="accent3" w:themeFillTint="99"/>
          </w:tcPr>
          <w:p w14:paraId="7BE52F54" w14:textId="77777777" w:rsidR="00C700AD" w:rsidRDefault="00C700AD" w:rsidP="000F360A">
            <w:pPr>
              <w:ind w:left="22"/>
            </w:pPr>
            <w:proofErr w:type="spellStart"/>
            <w:r>
              <w:t>3b</w:t>
            </w:r>
            <w:proofErr w:type="spellEnd"/>
            <w:r>
              <w:t>) Levels of adaptive functioning</w:t>
            </w:r>
          </w:p>
        </w:tc>
        <w:tc>
          <w:tcPr>
            <w:tcW w:w="2156" w:type="dxa"/>
            <w:shd w:val="clear" w:color="auto" w:fill="C9C9C9" w:themeFill="accent3" w:themeFillTint="99"/>
          </w:tcPr>
          <w:p w14:paraId="2255AED1" w14:textId="77777777" w:rsidR="00C700AD" w:rsidRPr="003139FC" w:rsidRDefault="00C700AD" w:rsidP="000F360A">
            <w:r>
              <w:t>LOAF tool</w:t>
            </w:r>
          </w:p>
        </w:tc>
        <w:tc>
          <w:tcPr>
            <w:tcW w:w="2067" w:type="dxa"/>
            <w:shd w:val="clear" w:color="auto" w:fill="C9C9C9" w:themeFill="accent3" w:themeFillTint="99"/>
          </w:tcPr>
          <w:p w14:paraId="4C2040CC" w14:textId="77777777" w:rsidR="00C700AD" w:rsidRDefault="00C700AD" w:rsidP="000F360A"/>
        </w:tc>
        <w:tc>
          <w:tcPr>
            <w:tcW w:w="2079" w:type="dxa"/>
            <w:shd w:val="clear" w:color="auto" w:fill="C9C9C9" w:themeFill="accent3" w:themeFillTint="99"/>
          </w:tcPr>
          <w:p w14:paraId="0C62A6C8" w14:textId="77777777" w:rsidR="00C700AD" w:rsidRDefault="00C700AD" w:rsidP="000F360A">
            <w:r>
              <w:t>Applied at the end of the assessment process.</w:t>
            </w:r>
          </w:p>
        </w:tc>
      </w:tr>
      <w:tr w:rsidR="00C700AD" w14:paraId="59D27851" w14:textId="77777777" w:rsidTr="000F360A">
        <w:tc>
          <w:tcPr>
            <w:tcW w:w="2714" w:type="dxa"/>
            <w:shd w:val="clear" w:color="auto" w:fill="C9C9C9" w:themeFill="accent3" w:themeFillTint="99"/>
          </w:tcPr>
          <w:p w14:paraId="38926B36" w14:textId="77777777" w:rsidR="00C700AD" w:rsidRDefault="00C700AD" w:rsidP="00C70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/>
            </w:pPr>
            <w:r>
              <w:t>The infant’s development</w:t>
            </w:r>
          </w:p>
        </w:tc>
        <w:tc>
          <w:tcPr>
            <w:tcW w:w="2156" w:type="dxa"/>
            <w:shd w:val="clear" w:color="auto" w:fill="C9C9C9" w:themeFill="accent3" w:themeFillTint="99"/>
          </w:tcPr>
          <w:p w14:paraId="6427D15A" w14:textId="77777777" w:rsidR="00C700AD" w:rsidRDefault="00C700AD" w:rsidP="000F360A">
            <w:r>
              <w:t xml:space="preserve">Ages and Stages Questionnaires completed with the </w:t>
            </w:r>
            <w:proofErr w:type="gramStart"/>
            <w:r>
              <w:t>practitioner  (</w:t>
            </w:r>
            <w:proofErr w:type="gramEnd"/>
            <w:r>
              <w:t xml:space="preserve"> ASQ :SE2 and ASQ-3,</w:t>
            </w:r>
          </w:p>
        </w:tc>
        <w:tc>
          <w:tcPr>
            <w:tcW w:w="2067" w:type="dxa"/>
            <w:shd w:val="clear" w:color="auto" w:fill="C9C9C9" w:themeFill="accent3" w:themeFillTint="99"/>
          </w:tcPr>
          <w:p w14:paraId="6697689F" w14:textId="77777777" w:rsidR="00C700AD" w:rsidRDefault="00C700AD" w:rsidP="000F360A"/>
        </w:tc>
        <w:tc>
          <w:tcPr>
            <w:tcW w:w="2079" w:type="dxa"/>
            <w:shd w:val="clear" w:color="auto" w:fill="C9C9C9" w:themeFill="accent3" w:themeFillTint="99"/>
          </w:tcPr>
          <w:p w14:paraId="5995906D" w14:textId="77777777" w:rsidR="00C700AD" w:rsidRDefault="00C700AD" w:rsidP="000F360A">
            <w:r>
              <w:t>Pre and post</w:t>
            </w:r>
          </w:p>
        </w:tc>
      </w:tr>
      <w:tr w:rsidR="00C700AD" w14:paraId="278C2F5D" w14:textId="77777777" w:rsidTr="000F360A">
        <w:tc>
          <w:tcPr>
            <w:tcW w:w="2714" w:type="dxa"/>
            <w:shd w:val="clear" w:color="auto" w:fill="C9C9C9" w:themeFill="accent3" w:themeFillTint="99"/>
          </w:tcPr>
          <w:p w14:paraId="7A5EA9A4" w14:textId="77777777" w:rsidR="00C700AD" w:rsidRDefault="00C700AD" w:rsidP="00C70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/>
            </w:pPr>
            <w:r>
              <w:t>The state of mind/mental health of the parent(s)</w:t>
            </w:r>
          </w:p>
        </w:tc>
        <w:tc>
          <w:tcPr>
            <w:tcW w:w="2156" w:type="dxa"/>
            <w:shd w:val="clear" w:color="auto" w:fill="C9C9C9" w:themeFill="accent3" w:themeFillTint="99"/>
          </w:tcPr>
          <w:p w14:paraId="1C9F0033" w14:textId="77777777" w:rsidR="00C700AD" w:rsidRDefault="00C700AD" w:rsidP="000F360A">
            <w:r>
              <w:t>Hospital Anxiety and Depression Scale (HADS)</w:t>
            </w:r>
          </w:p>
        </w:tc>
        <w:tc>
          <w:tcPr>
            <w:tcW w:w="2067" w:type="dxa"/>
            <w:shd w:val="clear" w:color="auto" w:fill="C9C9C9" w:themeFill="accent3" w:themeFillTint="99"/>
          </w:tcPr>
          <w:p w14:paraId="1AD775AD" w14:textId="77777777" w:rsidR="00C700AD" w:rsidRDefault="00C700AD" w:rsidP="000F360A"/>
        </w:tc>
        <w:tc>
          <w:tcPr>
            <w:tcW w:w="2079" w:type="dxa"/>
            <w:shd w:val="clear" w:color="auto" w:fill="C9C9C9" w:themeFill="accent3" w:themeFillTint="99"/>
          </w:tcPr>
          <w:p w14:paraId="56CA3CD2" w14:textId="77777777" w:rsidR="00C700AD" w:rsidRDefault="00C700AD" w:rsidP="000F360A">
            <w:r>
              <w:t>Pre and post</w:t>
            </w:r>
          </w:p>
        </w:tc>
      </w:tr>
      <w:tr w:rsidR="00C700AD" w14:paraId="4782321D" w14:textId="77777777" w:rsidTr="000F360A">
        <w:tc>
          <w:tcPr>
            <w:tcW w:w="2714" w:type="dxa"/>
            <w:shd w:val="clear" w:color="auto" w:fill="C9C9C9" w:themeFill="accent3" w:themeFillTint="99"/>
          </w:tcPr>
          <w:p w14:paraId="4801CBEA" w14:textId="77777777" w:rsidR="00C700AD" w:rsidRDefault="00C700AD" w:rsidP="00C700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/>
            </w:pPr>
            <w:r>
              <w:t xml:space="preserve">Parent Feedback </w:t>
            </w:r>
          </w:p>
        </w:tc>
        <w:tc>
          <w:tcPr>
            <w:tcW w:w="2156" w:type="dxa"/>
            <w:shd w:val="clear" w:color="auto" w:fill="C9C9C9" w:themeFill="accent3" w:themeFillTint="99"/>
          </w:tcPr>
          <w:p w14:paraId="07F8B4A4" w14:textId="77777777" w:rsidR="00C700AD" w:rsidRDefault="00C700AD" w:rsidP="000F360A">
            <w:r>
              <w:t>PIP UK Parent Evaluation form</w:t>
            </w:r>
          </w:p>
        </w:tc>
        <w:tc>
          <w:tcPr>
            <w:tcW w:w="2067" w:type="dxa"/>
            <w:shd w:val="clear" w:color="auto" w:fill="C9C9C9" w:themeFill="accent3" w:themeFillTint="99"/>
          </w:tcPr>
          <w:p w14:paraId="6B36A8E1" w14:textId="77777777" w:rsidR="00C700AD" w:rsidRDefault="00C700AD" w:rsidP="000F360A"/>
        </w:tc>
        <w:tc>
          <w:tcPr>
            <w:tcW w:w="2079" w:type="dxa"/>
            <w:shd w:val="clear" w:color="auto" w:fill="C9C9C9" w:themeFill="accent3" w:themeFillTint="99"/>
          </w:tcPr>
          <w:p w14:paraId="2AF9AD83" w14:textId="77777777" w:rsidR="00C700AD" w:rsidRDefault="00C700AD" w:rsidP="000F360A">
            <w:r>
              <w:t>At the end of the work</w:t>
            </w:r>
          </w:p>
        </w:tc>
      </w:tr>
      <w:tr w:rsidR="00C700AD" w14:paraId="10D533B2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68C94CDD" w14:textId="77777777" w:rsidR="00C700AD" w:rsidRDefault="00C700AD" w:rsidP="000F360A">
            <w:r>
              <w:t>Source of referral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0D969B52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65D154E1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2AB22F81" w14:textId="77777777" w:rsidR="00C700AD" w:rsidRDefault="00C700AD" w:rsidP="000F360A"/>
        </w:tc>
      </w:tr>
      <w:tr w:rsidR="00C700AD" w14:paraId="08B1F917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5E2CE03F" w14:textId="77777777" w:rsidR="00C700AD" w:rsidRDefault="00C700AD" w:rsidP="000F360A">
            <w:r>
              <w:t>Number of referrals received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7AA3ADA5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74498E32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44E10CB9" w14:textId="77777777" w:rsidR="00C700AD" w:rsidRDefault="00C700AD" w:rsidP="000F360A"/>
        </w:tc>
      </w:tr>
      <w:tr w:rsidR="00C700AD" w14:paraId="01521895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2EAD9FB4" w14:textId="77777777" w:rsidR="00C700AD" w:rsidRDefault="00C700AD" w:rsidP="000F360A">
            <w:r>
              <w:t>Number of referrals received and accepted following triage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55D486A5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553E4201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507706F0" w14:textId="77777777" w:rsidR="00C700AD" w:rsidRDefault="00C700AD" w:rsidP="000F360A"/>
        </w:tc>
      </w:tr>
      <w:tr w:rsidR="00C700AD" w14:paraId="439C9ADA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4585B51D" w14:textId="77777777" w:rsidR="00C700AD" w:rsidRDefault="00C700AD" w:rsidP="000F360A">
            <w:r>
              <w:t>Number of referrals declined following triage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35820117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57708F58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14380175" w14:textId="77777777" w:rsidR="00C700AD" w:rsidRDefault="00C700AD" w:rsidP="000F360A"/>
        </w:tc>
      </w:tr>
      <w:tr w:rsidR="00C700AD" w14:paraId="3D44720A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69ED839F" w14:textId="77777777" w:rsidR="00C700AD" w:rsidRDefault="00C700AD" w:rsidP="000F360A">
            <w:r>
              <w:t>Reason for referral being declined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57DF5037" w14:textId="77777777" w:rsidR="00C700AD" w:rsidRDefault="00C700AD" w:rsidP="000F360A">
            <w:r>
              <w:t xml:space="preserve">Develop </w:t>
            </w:r>
            <w:proofErr w:type="gramStart"/>
            <w:r>
              <w:t>options :Capacity</w:t>
            </w:r>
            <w:proofErr w:type="gramEnd"/>
            <w:r>
              <w:t xml:space="preserve">, </w:t>
            </w:r>
            <w:r>
              <w:lastRenderedPageBreak/>
              <w:t xml:space="preserve">Safeguarding, Instability of relationship, carer declined </w:t>
            </w:r>
          </w:p>
        </w:tc>
        <w:tc>
          <w:tcPr>
            <w:tcW w:w="2067" w:type="dxa"/>
            <w:shd w:val="clear" w:color="auto" w:fill="A8D08D" w:themeFill="accent6" w:themeFillTint="99"/>
          </w:tcPr>
          <w:p w14:paraId="2D152593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1F4F38D8" w14:textId="77777777" w:rsidR="00C700AD" w:rsidRDefault="00C700AD" w:rsidP="000F360A"/>
        </w:tc>
      </w:tr>
      <w:tr w:rsidR="00C700AD" w14:paraId="531FFBF0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05D7AC9F" w14:textId="77777777" w:rsidR="00C700AD" w:rsidRDefault="00C700AD" w:rsidP="000F360A"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those infants declined the a) parents b) referring professionals received advice and guidance.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3E061213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09F0333B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5EEA071E" w14:textId="77777777" w:rsidR="00C700AD" w:rsidRDefault="00C700AD" w:rsidP="000F360A"/>
        </w:tc>
      </w:tr>
      <w:tr w:rsidR="00C700AD" w14:paraId="5D9D01C2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0D111190" w14:textId="77777777" w:rsidR="00C700AD" w:rsidRDefault="00C700AD" w:rsidP="000F360A">
            <w:r>
              <w:t xml:space="preserve">Number of Infants Discharged completed intervention 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62DB7FF3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19C887CA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3D0E032F" w14:textId="77777777" w:rsidR="00C700AD" w:rsidRDefault="00C700AD" w:rsidP="000F360A"/>
        </w:tc>
      </w:tr>
      <w:tr w:rsidR="00C700AD" w14:paraId="712BD13A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6B594797" w14:textId="77777777" w:rsidR="00C700AD" w:rsidRDefault="00C700AD" w:rsidP="000F360A">
            <w:r>
              <w:t>Number of Infants on caseload receiving direct intervention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5B1C5D12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6A2B670F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1E1D9D64" w14:textId="77777777" w:rsidR="00C700AD" w:rsidRDefault="00C700AD" w:rsidP="000F360A"/>
        </w:tc>
      </w:tr>
      <w:tr w:rsidR="00C700AD" w14:paraId="5ACA8737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39069E59" w14:textId="77777777" w:rsidR="00C700AD" w:rsidRDefault="00C700AD" w:rsidP="000F360A">
            <w:r>
              <w:t>Number of Infants discharged incomplete intervention.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4DF594F9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6160E9B9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5DF3532B" w14:textId="77777777" w:rsidR="00C700AD" w:rsidRDefault="00C700AD" w:rsidP="000F360A"/>
        </w:tc>
      </w:tr>
      <w:tr w:rsidR="00C700AD" w14:paraId="335A00A1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26B226B8" w14:textId="77777777" w:rsidR="00C700AD" w:rsidRDefault="00C700AD" w:rsidP="000F360A">
            <w:r>
              <w:t xml:space="preserve">Infants will be seen within 6 weeks for the first direct intervention following triage. 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1B841D3D" w14:textId="77777777" w:rsidR="00C700AD" w:rsidRPr="00183067" w:rsidRDefault="00C700AD" w:rsidP="000F360A">
            <w:pPr>
              <w:rPr>
                <w:color w:val="FF0000"/>
              </w:rPr>
            </w:pPr>
            <w:r w:rsidRPr="00183067">
              <w:rPr>
                <w:color w:val="FF0000"/>
              </w:rPr>
              <w:t xml:space="preserve">Trajectory to be set to get to 95% </w:t>
            </w:r>
          </w:p>
          <w:p w14:paraId="36627012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7972443E" w14:textId="77777777" w:rsidR="00C700AD" w:rsidRDefault="00C700AD" w:rsidP="000F360A">
            <w:r>
              <w:t>KPI</w:t>
            </w:r>
          </w:p>
        </w:tc>
        <w:tc>
          <w:tcPr>
            <w:tcW w:w="2079" w:type="dxa"/>
            <w:shd w:val="clear" w:color="auto" w:fill="A8D08D" w:themeFill="accent6" w:themeFillTint="99"/>
          </w:tcPr>
          <w:p w14:paraId="2FB0F955" w14:textId="77777777" w:rsidR="00C700AD" w:rsidRDefault="00C700AD" w:rsidP="000F360A"/>
        </w:tc>
      </w:tr>
      <w:tr w:rsidR="00C700AD" w14:paraId="67BC965A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1ED6F6A8" w14:textId="77777777" w:rsidR="00C700AD" w:rsidRDefault="00C700AD" w:rsidP="000F360A">
            <w:r>
              <w:t xml:space="preserve">Advice and Guidance will be provided to referring professional </w:t>
            </w:r>
            <w:r w:rsidRPr="00183067">
              <w:rPr>
                <w:color w:val="FF0000"/>
              </w:rPr>
              <w:t xml:space="preserve">within 5 days </w:t>
            </w:r>
            <w:r>
              <w:t xml:space="preserve">following triage  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37C16086" w14:textId="77777777" w:rsidR="00C700AD" w:rsidRPr="00183067" w:rsidRDefault="00C700AD" w:rsidP="000F360A">
            <w:pPr>
              <w:rPr>
                <w:color w:val="FF0000"/>
              </w:rPr>
            </w:pPr>
            <w:r w:rsidRPr="00183067">
              <w:rPr>
                <w:color w:val="FF0000"/>
              </w:rPr>
              <w:t xml:space="preserve">Trajectory to be set to get to 95% </w:t>
            </w:r>
          </w:p>
          <w:p w14:paraId="10A0D830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0592654F" w14:textId="77777777" w:rsidR="00C700AD" w:rsidRDefault="00C700AD" w:rsidP="000F360A">
            <w:r>
              <w:t>KPI</w:t>
            </w:r>
          </w:p>
        </w:tc>
        <w:tc>
          <w:tcPr>
            <w:tcW w:w="2079" w:type="dxa"/>
            <w:shd w:val="clear" w:color="auto" w:fill="A8D08D" w:themeFill="accent6" w:themeFillTint="99"/>
          </w:tcPr>
          <w:p w14:paraId="5C454032" w14:textId="77777777" w:rsidR="00C700AD" w:rsidRDefault="00C700AD" w:rsidP="000F360A">
            <w:r>
              <w:t>Can this be reported alongside identifying the professional groups?</w:t>
            </w:r>
          </w:p>
        </w:tc>
      </w:tr>
      <w:tr w:rsidR="00C700AD" w14:paraId="7C9E706B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48E0F2E1" w14:textId="77777777" w:rsidR="00C700AD" w:rsidRDefault="00C700AD" w:rsidP="000F360A">
            <w:r>
              <w:t xml:space="preserve">Training 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78D28910" w14:textId="77777777" w:rsidR="00C700AD" w:rsidRDefault="00C700AD" w:rsidP="000F360A">
            <w:r>
              <w:t>Development of the champions model framework</w:t>
            </w:r>
          </w:p>
          <w:p w14:paraId="3FE11729" w14:textId="77777777" w:rsidR="00C700AD" w:rsidRDefault="00C700AD" w:rsidP="000F360A"/>
          <w:p w14:paraId="39424C8C" w14:textId="77777777" w:rsidR="00C700AD" w:rsidRDefault="00C700AD" w:rsidP="000F360A">
            <w:r>
              <w:t>Numbers of professionals trained</w:t>
            </w:r>
          </w:p>
          <w:p w14:paraId="3F7F69BB" w14:textId="77777777" w:rsidR="00C700AD" w:rsidRDefault="00C700AD" w:rsidP="000F360A"/>
          <w:p w14:paraId="160800BB" w14:textId="77777777" w:rsidR="00C700AD" w:rsidRDefault="00C700AD" w:rsidP="000F360A">
            <w:r>
              <w:t xml:space="preserve">Groups of professionals </w:t>
            </w:r>
          </w:p>
          <w:p w14:paraId="4C10B896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3886243D" w14:textId="77777777" w:rsidR="00C700AD" w:rsidRDefault="00C700AD" w:rsidP="000F360A">
            <w:r>
              <w:t xml:space="preserve">To be developed </w:t>
            </w:r>
            <w:proofErr w:type="gramStart"/>
            <w:r>
              <w:t>at a later date</w:t>
            </w:r>
            <w:proofErr w:type="gramEnd"/>
            <w:r>
              <w:t>.</w:t>
            </w:r>
          </w:p>
        </w:tc>
        <w:tc>
          <w:tcPr>
            <w:tcW w:w="2079" w:type="dxa"/>
            <w:shd w:val="clear" w:color="auto" w:fill="A8D08D" w:themeFill="accent6" w:themeFillTint="99"/>
          </w:tcPr>
          <w:p w14:paraId="0D291885" w14:textId="77777777" w:rsidR="00C700AD" w:rsidRDefault="00C700AD" w:rsidP="000F360A"/>
        </w:tc>
      </w:tr>
      <w:tr w:rsidR="00C700AD" w14:paraId="018317B0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654BAB5C" w14:textId="77777777" w:rsidR="00C700AD" w:rsidRDefault="00C700AD" w:rsidP="000F360A">
            <w:r>
              <w:t xml:space="preserve">Number of sessions delivered for IMH awareness /training. 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22F9D73E" w14:textId="77777777" w:rsidR="00C700AD" w:rsidRDefault="00C700AD" w:rsidP="000F360A">
            <w:r>
              <w:t>Numbers of attendees and professional group</w:t>
            </w:r>
          </w:p>
        </w:tc>
        <w:tc>
          <w:tcPr>
            <w:tcW w:w="2067" w:type="dxa"/>
            <w:shd w:val="clear" w:color="auto" w:fill="A8D08D" w:themeFill="accent6" w:themeFillTint="99"/>
          </w:tcPr>
          <w:p w14:paraId="65C331CC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0C5A5BDE" w14:textId="77777777" w:rsidR="00C700AD" w:rsidRDefault="00C700AD" w:rsidP="000F360A"/>
        </w:tc>
      </w:tr>
      <w:tr w:rsidR="00C700AD" w14:paraId="1426BE1C" w14:textId="77777777" w:rsidTr="000F360A">
        <w:tc>
          <w:tcPr>
            <w:tcW w:w="2714" w:type="dxa"/>
            <w:shd w:val="clear" w:color="auto" w:fill="A8D08D" w:themeFill="accent6" w:themeFillTint="99"/>
          </w:tcPr>
          <w:p w14:paraId="1D306BB8" w14:textId="77777777" w:rsidR="00C700AD" w:rsidRDefault="00C700AD" w:rsidP="000F360A">
            <w:r>
              <w:t xml:space="preserve">Number of cases jointly managed with the PNMH service </w:t>
            </w:r>
          </w:p>
        </w:tc>
        <w:tc>
          <w:tcPr>
            <w:tcW w:w="2156" w:type="dxa"/>
            <w:shd w:val="clear" w:color="auto" w:fill="A8D08D" w:themeFill="accent6" w:themeFillTint="99"/>
          </w:tcPr>
          <w:p w14:paraId="65A12ED6" w14:textId="77777777" w:rsidR="00C700AD" w:rsidRDefault="00C700AD" w:rsidP="000F360A"/>
        </w:tc>
        <w:tc>
          <w:tcPr>
            <w:tcW w:w="2067" w:type="dxa"/>
            <w:shd w:val="clear" w:color="auto" w:fill="A8D08D" w:themeFill="accent6" w:themeFillTint="99"/>
          </w:tcPr>
          <w:p w14:paraId="738EA789" w14:textId="77777777" w:rsidR="00C700AD" w:rsidRDefault="00C700AD" w:rsidP="000F360A"/>
        </w:tc>
        <w:tc>
          <w:tcPr>
            <w:tcW w:w="2079" w:type="dxa"/>
            <w:shd w:val="clear" w:color="auto" w:fill="A8D08D" w:themeFill="accent6" w:themeFillTint="99"/>
          </w:tcPr>
          <w:p w14:paraId="42BE288F" w14:textId="77777777" w:rsidR="00C700AD" w:rsidRDefault="00C700AD" w:rsidP="000F360A"/>
        </w:tc>
      </w:tr>
    </w:tbl>
    <w:p w14:paraId="229C6068" w14:textId="77777777" w:rsidR="00C700AD" w:rsidRDefault="00C700AD"/>
    <w:p w14:paraId="62A8D907" w14:textId="029ABBFC" w:rsidR="00C700AD" w:rsidRDefault="00C700AD"/>
    <w:p w14:paraId="052A6F3E" w14:textId="47FA55F2" w:rsidR="00C700AD" w:rsidRDefault="00C700AD"/>
    <w:p w14:paraId="69C00D21" w14:textId="77777777" w:rsidR="00C700AD" w:rsidRDefault="00C700AD"/>
    <w:sectPr w:rsidR="00C70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6286"/>
    <w:multiLevelType w:val="hybridMultilevel"/>
    <w:tmpl w:val="02BC56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AC3"/>
    <w:multiLevelType w:val="hybridMultilevel"/>
    <w:tmpl w:val="BC024B72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AD"/>
    <w:rsid w:val="00317C60"/>
    <w:rsid w:val="00A770E2"/>
    <w:rsid w:val="00BE2871"/>
    <w:rsid w:val="00C7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4C86"/>
  <w15:chartTrackingRefBased/>
  <w15:docId w15:val="{D6303C73-481F-4BE2-A9E3-D6760605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0A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01CFE7A87E3419D2535274BD7568F" ma:contentTypeVersion="12" ma:contentTypeDescription="Create a new document." ma:contentTypeScope="" ma:versionID="6d8e3c4bfc35895d0388e0539aea17cc">
  <xsd:schema xmlns:xsd="http://www.w3.org/2001/XMLSchema" xmlns:xs="http://www.w3.org/2001/XMLSchema" xmlns:p="http://schemas.microsoft.com/office/2006/metadata/properties" xmlns:ns2="84dde526-7dfc-4383-8a8e-9eb7fdb85f61" xmlns:ns3="c70151df-491e-4522-b1b0-8f76136c0592" targetNamespace="http://schemas.microsoft.com/office/2006/metadata/properties" ma:root="true" ma:fieldsID="5a58d49f2e33bf4f2709397ba99cfe74" ns2:_="" ns3:_="">
    <xsd:import namespace="84dde526-7dfc-4383-8a8e-9eb7fdb85f61"/>
    <xsd:import namespace="c70151df-491e-4522-b1b0-8f76136c0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e526-7dfc-4383-8a8e-9eb7fdb85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151df-491e-4522-b1b0-8f76136c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30999-192D-4461-8269-A2549877E6EE}"/>
</file>

<file path=customXml/itemProps2.xml><?xml version="1.0" encoding="utf-8"?>
<ds:datastoreItem xmlns:ds="http://schemas.openxmlformats.org/officeDocument/2006/customXml" ds:itemID="{A606E483-0832-4737-A402-63188B40B9C0}"/>
</file>

<file path=customXml/itemProps3.xml><?xml version="1.0" encoding="utf-8"?>
<ds:datastoreItem xmlns:ds="http://schemas.openxmlformats.org/officeDocument/2006/customXml" ds:itemID="{EB15E5AF-A541-4706-B8C2-3029E30EE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Bateson</dc:creator>
  <cp:keywords/>
  <dc:description/>
  <cp:lastModifiedBy>Karen Bateson</cp:lastModifiedBy>
  <cp:revision>1</cp:revision>
  <cp:lastPrinted>2022-03-24T14:12:00Z</cp:lastPrinted>
  <dcterms:created xsi:type="dcterms:W3CDTF">2022-03-24T14:11:00Z</dcterms:created>
  <dcterms:modified xsi:type="dcterms:W3CDTF">2022-03-24T14:13:00Z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0x01010091701CFE7A87E3419D2535274BD7568F</vt:lpwstr>
  </property>
</Properties>
</file>